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Objet : Semaine de la tolérance — enfants de 6 à 11 ans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Chers parents,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Dans le cadre du programme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Vivre-ensemble – Fri for Mobberi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 nous organisons une </w:t>
      </w: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Semaine de la tolérance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auprès des enfants de 6 à 11 ans.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À cet âge, les enfants développent davantage leur capacité à comparer, juger et se positionner au sein du groupe. Les différences peuvent alors être discutées, évaluées, voire hiérarchisées.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Cette semaine vise à aider les enfants à 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distinguer faits et jugements,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comprendre que les comportements peuvent être liés à des émotions différentes,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réfléchir à ce qui permet de faire groupe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avec </w:t>
      </w:r>
      <w:r w:rsidDel="00000000" w:rsidR="00000000" w:rsidRPr="00000000">
        <w:rPr>
          <w:rFonts w:ascii="Roboto" w:cs="Roboto" w:eastAsia="Roboto" w:hAnsi="Roboto"/>
          <w:rtl w:val="0"/>
        </w:rPr>
        <w:t xml:space="preserve">les différences.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À la maison, vous pouvez prolonger cette réflexion en 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questionnant les mots utilisés pour parler des autres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(« est-ce que tu décris ou est-ce que tu juges ? »),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aidant votre enfant à distinguer ce qu’il observe de ce qu’il pense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rappelant que l’on peut être en désaccord sans exclure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,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ouvrant la discussion sur ce que l’on ne voit pas chez l’autre</w:t>
      </w:r>
      <w:r w:rsidDel="00000000" w:rsidR="00000000" w:rsidRPr="00000000">
        <w:rPr>
          <w:rFonts w:ascii="Roboto" w:cs="Roboto" w:eastAsia="Roboto" w:hAnsi="Roboto"/>
          <w:rtl w:val="0"/>
        </w:rPr>
        <w:t xml:space="preserve"> (émotions, vécu, intentions).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La tolérance se construit dans la capacité à rester en lien, même lorsqu’on ne pense pas ou ne ressent pas la même chose.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Bien cordialement,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L’équipe éducative</w:t>
      </w:r>
    </w:p>
    <w:p w:rsidR="00000000" w:rsidDel="00000000" w:rsidP="00000000" w:rsidRDefault="00000000" w:rsidRPr="00000000" w14:paraId="00000013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776413" cy="72886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413" cy="728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ind w:right="-891.2598425196836"/>
      <w:jc w:val="right"/>
      <w:rPr/>
    </w:pPr>
    <w:r w:rsidDel="00000000" w:rsidR="00000000" w:rsidRPr="00000000">
      <w:rPr/>
      <w:drawing>
        <wp:inline distB="114300" distT="114300" distL="114300" distR="114300">
          <wp:extent cx="2176463" cy="47361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6463" cy="4736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